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1E736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>选题一：青言网语话理想</w:t>
      </w:r>
    </w:p>
    <w:p w14:paraId="71275C6B"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从高价到平价，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牛肉价格里的农业民生答卷</w:t>
      </w:r>
    </w:p>
    <w:p w14:paraId="57D4F3B9">
      <w:p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2025年春节期间，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市场上的牛肉价格从五六十元/斤跌至二十多元/斤，创下近五年来新低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引发了社会各界的广泛关注。这一价格的大幅跳水，既让消费者感受到“牛肉自由”的幸福，也折射出我国农业产业链的深层矛盾，凸显出乡村振兴的紧迫性。中央一号文件适时提出“推进肉牛产业纾困”和“加快种业振兴行动”等举措，标志着一场关乎14亿人饭碗安全的农业变革，已然拉开帷幕。</w:t>
      </w:r>
    </w:p>
    <w:p w14:paraId="529F67AA">
      <w:pPr>
        <w:jc w:val="center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4632960" cy="3475355"/>
            <wp:effectExtent l="0" t="0" r="15240" b="10795"/>
            <wp:docPr id="1" name="图片 1" descr="b3f7dd753be1fe0e0cac1237b2a28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3f7dd753be1fe0e0cac1237b2a28e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83F09">
      <w:pPr>
        <w:ind w:firstLine="640" w:firstLineChars="200"/>
        <w:jc w:val="center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牛肉价格下跌的本质是供需关系的严重失衡。从供应端看，进口激增是直接“导火索”。2024年，中国牛肉进口量达287万吨，较上年同比增长5%，而南美国家凭借低成本草饲优势，迅速抢占国内市场。相比之下，国内养殖成本高昂，饲料占养牛成本的40%-60%，且散户养殖占据主导地位，难以形成规模的养殖体系。更严峻的是，生鲜乳市价格持续低迷，迫使部分奶牛转入肉牛市场，仅在2024年就额外增加20-25万吨牛肉供给，进一步加剧了市场压力。在需求端，牛肉消费需求呈现“刚性特征”，即便价格大幅下跌，家庭消费仅增长3.2%，加之餐饮价格未同步下调，进一步抑制了消费者的热情。这种“供应多、成本高、需求增长少”的三重矛盾，导致肉牛养殖陷入“养牛难、卖牛亏”的恶性循环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3786505" cy="5048885"/>
            <wp:effectExtent l="0" t="0" r="4445" b="18415"/>
            <wp:docPr id="4" name="图片 4" descr="28ae2ba3e0fee855b0dab9611b7f3c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8ae2ba3e0fee855b0dab9611b7f3c7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6505" cy="504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03DD3">
      <w:p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量低价进口牛肉涌入，严重冲击国内肉牛市场，同时也暴露出国内畜牧产业链存在结构性短板。以肉牛养殖为例，国内草饲资源匮乏，圈养成本居高不下。而南美等国家则拥有广袤的天然草场，散养模式具有巨大的成本优势，使得国内养殖户利润空间被严重压缩，甚至出现“劣币驱逐良币”的不良现象。长此以往，不仅影响养殖户的积极性，还会威胁到国内畜牧产品的稳定供应和农业产业的健康发展。面对困局，中央一号文件开出的“科技+改革”药方直击痛点。在种业振兴方面，依靠科技力量，提高饲草的产量和质量，以此降低圈养成本，增强国内养殖的竞争力；在产业组织变革方面，通过完善联合研发和应用协作机制，加快推广“公司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+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农户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+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合作社”的产业化模式，破解“小生产与大市场”的矛盾。</w:t>
      </w:r>
    </w:p>
    <w:p w14:paraId="46A8DEC8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农产品价格的波动，是农业现代化进程的生动写照。2025年中央一号文件以“建设农业强国”为核心目标，围绕 “农业新质生产力”“大食物观” 展开布局，标志着中国农业从传统生产向生产质量效益并重的战略转型。在进口农产品与本土农产品相互竞争的当下，中国农业果断采取 “双轮驱动”策略。一方面，坚定不移地秉持 “藏粮于地、藏粮于技” 的战略，严守18亿亩耕地红线，大力推进高标准农田建设。同时，凭借超级稻培育、智能农机研发等技术突破，不断夯实粮食安全的根基。另一方面，积极践行 “统筹利用国际国内两个市场”的开放策略，借助RCEP等自贸协定，优化农产品进口结构，既有效保障国内短缺农产品的稳定供给，又助力优势农产品走出国门、走向世界。这种 “引进来”与“走出去”并重的双向开放模式，正为中国农业构建新的竞争优势。</w:t>
      </w:r>
    </w:p>
    <w:p w14:paraId="0A1BF159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4609465" cy="3458210"/>
            <wp:effectExtent l="0" t="0" r="635" b="8890"/>
            <wp:docPr id="3" name="图片 3" descr="3eae9d625c48c47c0331042e84eb80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eae9d625c48c47c0331042e84eb80e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9465" cy="345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E8CEC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牛肉的价格变迁，是新时代农业变革的缩影。它既彰显了政策的前瞻性与市场的活力，也提醒我们，农业现代化不仅是技术升级和产业升级，更是全产业链的协同创新。唯有坚持“以人民为中心”的发展理念，才能让“中国饭碗”不仅端得稳、装得满，更盛满幸福滋味，为推进中国式现代化注入坚实底气。</w:t>
      </w:r>
    </w:p>
    <w:p w14:paraId="2C8D6E34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文字：程  曦 湖北美术学院</w:t>
      </w:r>
    </w:p>
    <w:p w14:paraId="57267943">
      <w:pPr>
        <w:ind w:firstLine="964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章美玲 武汉市江夏“青苹果乐园”网评团队 </w:t>
      </w:r>
    </w:p>
    <w:p w14:paraId="744FE0BD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漫画：程  曦 湖北美术学院</w:t>
      </w:r>
    </w:p>
    <w:p w14:paraId="4590EF20">
      <w:pP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指导老师：金 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1162C"/>
    <w:rsid w:val="19FD2C86"/>
    <w:rsid w:val="314C5380"/>
    <w:rsid w:val="3FEE0A6F"/>
    <w:rsid w:val="5379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1333</Words>
  <Characters>1366</Characters>
  <Paragraphs>12</Paragraphs>
  <TotalTime>12</TotalTime>
  <ScaleCrop>false</ScaleCrop>
  <LinksUpToDate>false</LinksUpToDate>
  <CharactersWithSpaces>1381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2025-02-24T02:19:00Z</dcterms:created>
  <dc:creator>Administrator.DESKTOP-HCTFMIA</dc:creator>
  <cp:lastModifiedBy>鹿屿ly</cp:lastModifiedBy>
  <dcterms:modified xsi:type="dcterms:W3CDTF">2025-03-14T03:32:11Z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eyJoZGlkIjoiZjIyYjE5NjFhOTMyYzI0YjIyMzRhYmNmNDYwNjM3NzQiLCJ1c2VySWQiOiIxMTI3NjYxNTMxIn0=</vt:lpwstr>
  </property>
  <property fmtid="{D5CDD505-2E9C-101B-9397-08002B2CF9AE}" pid="4" name="ICV">
    <vt:lpwstr>40BAEC4A1AAA421CAD9E87E4022AEBF6_13</vt:lpwstr>
  </property>
</Properties>
</file>